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5" w:type="dxa"/>
        <w:tblInd w:w="-252" w:type="dxa"/>
        <w:tblLayout w:type="fixed"/>
        <w:tblLook w:val="0000"/>
      </w:tblPr>
      <w:tblGrid>
        <w:gridCol w:w="9375"/>
      </w:tblGrid>
      <w:tr w:rsidR="00D56FF3" w:rsidRPr="00964E21" w:rsidTr="00890739">
        <w:trPr>
          <w:trHeight w:val="165"/>
        </w:trPr>
        <w:tc>
          <w:tcPr>
            <w:tcW w:w="9375" w:type="dxa"/>
            <w:tcBorders>
              <w:top w:val="nil"/>
              <w:left w:val="nil"/>
              <w:bottom w:val="nil"/>
              <w:right w:val="nil"/>
            </w:tcBorders>
            <w:vAlign w:val="center"/>
          </w:tcPr>
          <w:tbl>
            <w:tblPr>
              <w:tblW w:w="8757" w:type="dxa"/>
              <w:tblLayout w:type="fixed"/>
              <w:tblLook w:val="0000"/>
            </w:tblPr>
            <w:tblGrid>
              <w:gridCol w:w="935"/>
              <w:gridCol w:w="1585"/>
              <w:gridCol w:w="6237"/>
            </w:tblGrid>
            <w:tr w:rsidR="00D56FF3" w:rsidRPr="00964E21" w:rsidTr="00890739">
              <w:trPr>
                <w:trHeight w:val="162"/>
              </w:trPr>
              <w:tc>
                <w:tcPr>
                  <w:tcW w:w="8757" w:type="dxa"/>
                  <w:gridSpan w:val="3"/>
                  <w:tcBorders>
                    <w:top w:val="nil"/>
                    <w:left w:val="nil"/>
                    <w:bottom w:val="nil"/>
                    <w:right w:val="nil"/>
                  </w:tcBorders>
                  <w:vAlign w:val="center"/>
                </w:tcPr>
                <w:p w:rsidR="00D56FF3" w:rsidRPr="00964E21" w:rsidRDefault="00D56FF3" w:rsidP="00890739">
                  <w:pPr>
                    <w:widowControl/>
                    <w:jc w:val="center"/>
                    <w:rPr>
                      <w:rFonts w:ascii="黑体" w:eastAsia="黑体" w:hAnsi="黑体"/>
                      <w:b/>
                      <w:bCs/>
                      <w:kern w:val="0"/>
                      <w:sz w:val="36"/>
                      <w:szCs w:val="36"/>
                    </w:rPr>
                  </w:pPr>
                  <w:r w:rsidRPr="00964E21">
                    <w:rPr>
                      <w:rFonts w:ascii="黑体" w:eastAsia="黑体" w:hAnsi="黑体" w:hint="eastAsia"/>
                      <w:b/>
                      <w:bCs/>
                      <w:kern w:val="0"/>
                      <w:sz w:val="36"/>
                      <w:szCs w:val="36"/>
                    </w:rPr>
                    <w:t>承租人甄选综合评分表（</w:t>
                  </w:r>
                  <w:r w:rsidR="00EE0866">
                    <w:rPr>
                      <w:rFonts w:ascii="黑体" w:eastAsia="黑体" w:hAnsi="黑体" w:hint="eastAsia"/>
                      <w:b/>
                      <w:bCs/>
                      <w:kern w:val="0"/>
                      <w:sz w:val="36"/>
                      <w:szCs w:val="36"/>
                    </w:rPr>
                    <w:t>西广场品牌展示空间</w:t>
                  </w:r>
                  <w:r w:rsidRPr="00964E21">
                    <w:rPr>
                      <w:rFonts w:ascii="黑体" w:eastAsia="黑体" w:hAnsi="黑体" w:hint="eastAsia"/>
                      <w:b/>
                      <w:bCs/>
                      <w:kern w:val="0"/>
                      <w:sz w:val="36"/>
                      <w:szCs w:val="36"/>
                    </w:rPr>
                    <w:t>）</w:t>
                  </w:r>
                </w:p>
                <w:p w:rsidR="00D56FF3" w:rsidRPr="00964E21" w:rsidRDefault="00D56FF3" w:rsidP="00890739">
                  <w:pPr>
                    <w:widowControl/>
                    <w:jc w:val="center"/>
                    <w:rPr>
                      <w:rFonts w:ascii="黑体" w:eastAsia="黑体" w:hAnsi="黑体"/>
                      <w:b/>
                      <w:bCs/>
                      <w:kern w:val="0"/>
                      <w:sz w:val="36"/>
                      <w:szCs w:val="36"/>
                    </w:rPr>
                  </w:pPr>
                </w:p>
              </w:tc>
            </w:tr>
            <w:tr w:rsidR="00D56FF3" w:rsidRPr="00964E21" w:rsidTr="00890739">
              <w:trPr>
                <w:trHeight w:val="651"/>
              </w:trPr>
              <w:tc>
                <w:tcPr>
                  <w:tcW w:w="935" w:type="dxa"/>
                  <w:tcBorders>
                    <w:top w:val="single" w:sz="4" w:space="0" w:color="auto"/>
                    <w:left w:val="single" w:sz="4" w:space="0" w:color="auto"/>
                    <w:bottom w:val="single" w:sz="4" w:space="0" w:color="auto"/>
                    <w:right w:val="single" w:sz="4" w:space="0" w:color="auto"/>
                  </w:tcBorders>
                  <w:vAlign w:val="center"/>
                </w:tcPr>
                <w:p w:rsidR="00D56FF3" w:rsidRPr="00964E21" w:rsidRDefault="00D56FF3" w:rsidP="00890739">
                  <w:pPr>
                    <w:jc w:val="center"/>
                    <w:rPr>
                      <w:rFonts w:ascii="黑体" w:eastAsia="黑体" w:hAnsi="黑体" w:cs="宋体"/>
                      <w:b/>
                      <w:bCs/>
                    </w:rPr>
                  </w:pPr>
                  <w:r w:rsidRPr="00964E21">
                    <w:rPr>
                      <w:rFonts w:ascii="黑体" w:eastAsia="黑体" w:hAnsi="黑体" w:hint="eastAsia"/>
                      <w:b/>
                      <w:bCs/>
                    </w:rPr>
                    <w:t>序 号</w:t>
                  </w:r>
                </w:p>
              </w:tc>
              <w:tc>
                <w:tcPr>
                  <w:tcW w:w="1585" w:type="dxa"/>
                  <w:tcBorders>
                    <w:top w:val="single" w:sz="4" w:space="0" w:color="auto"/>
                    <w:left w:val="nil"/>
                    <w:bottom w:val="single" w:sz="4" w:space="0" w:color="auto"/>
                    <w:right w:val="single" w:sz="4" w:space="0" w:color="auto"/>
                  </w:tcBorders>
                  <w:vAlign w:val="center"/>
                </w:tcPr>
                <w:p w:rsidR="00D56FF3" w:rsidRPr="00964E21" w:rsidRDefault="00D56FF3" w:rsidP="00890739">
                  <w:pPr>
                    <w:jc w:val="center"/>
                    <w:rPr>
                      <w:rFonts w:ascii="黑体" w:eastAsia="黑体" w:hAnsi="黑体" w:cs="宋体"/>
                      <w:b/>
                      <w:bCs/>
                    </w:rPr>
                  </w:pPr>
                  <w:r w:rsidRPr="00964E21">
                    <w:rPr>
                      <w:rFonts w:ascii="黑体" w:eastAsia="黑体" w:hAnsi="黑体" w:hint="eastAsia"/>
                      <w:b/>
                      <w:bCs/>
                    </w:rPr>
                    <w:t>评 审 项 目(100分）</w:t>
                  </w:r>
                </w:p>
              </w:tc>
              <w:tc>
                <w:tcPr>
                  <w:tcW w:w="6237" w:type="dxa"/>
                  <w:tcBorders>
                    <w:top w:val="single" w:sz="4" w:space="0" w:color="auto"/>
                    <w:left w:val="nil"/>
                    <w:bottom w:val="single" w:sz="4" w:space="0" w:color="auto"/>
                    <w:right w:val="single" w:sz="4" w:space="0" w:color="auto"/>
                  </w:tcBorders>
                  <w:vAlign w:val="center"/>
                </w:tcPr>
                <w:p w:rsidR="00D56FF3" w:rsidRPr="00964E21" w:rsidRDefault="00D56FF3" w:rsidP="00890739">
                  <w:pPr>
                    <w:jc w:val="center"/>
                    <w:rPr>
                      <w:rFonts w:ascii="黑体" w:eastAsia="黑体" w:hAnsi="黑体" w:cs="宋体"/>
                      <w:b/>
                      <w:bCs/>
                    </w:rPr>
                  </w:pPr>
                  <w:r w:rsidRPr="00964E21">
                    <w:rPr>
                      <w:rFonts w:ascii="黑体" w:eastAsia="黑体" w:hAnsi="黑体" w:hint="eastAsia"/>
                      <w:b/>
                      <w:bCs/>
                    </w:rPr>
                    <w:t>评分标准</w:t>
                  </w:r>
                </w:p>
              </w:tc>
            </w:tr>
            <w:tr w:rsidR="00D56FF3" w:rsidRPr="00964E21" w:rsidTr="00890739">
              <w:trPr>
                <w:trHeight w:val="2218"/>
              </w:trPr>
              <w:tc>
                <w:tcPr>
                  <w:tcW w:w="935" w:type="dxa"/>
                  <w:tcBorders>
                    <w:top w:val="nil"/>
                    <w:left w:val="single" w:sz="4" w:space="0" w:color="auto"/>
                    <w:bottom w:val="single" w:sz="4" w:space="0" w:color="auto"/>
                    <w:right w:val="single" w:sz="4" w:space="0" w:color="auto"/>
                  </w:tcBorders>
                  <w:vAlign w:val="center"/>
                </w:tcPr>
                <w:p w:rsidR="00D56FF3" w:rsidRPr="009B4B01" w:rsidRDefault="00D56FF3" w:rsidP="00890739">
                  <w:pPr>
                    <w:jc w:val="center"/>
                    <w:rPr>
                      <w:rFonts w:ascii="黑体" w:eastAsia="黑体" w:hAnsi="黑体"/>
                      <w:b/>
                      <w:bCs/>
                    </w:rPr>
                  </w:pPr>
                  <w:r>
                    <w:rPr>
                      <w:rFonts w:ascii="黑体" w:eastAsia="黑体" w:hAnsi="黑体" w:hint="eastAsia"/>
                      <w:b/>
                      <w:bCs/>
                    </w:rPr>
                    <w:t>1</w:t>
                  </w:r>
                </w:p>
              </w:tc>
              <w:tc>
                <w:tcPr>
                  <w:tcW w:w="1585" w:type="dxa"/>
                  <w:tcBorders>
                    <w:top w:val="nil"/>
                    <w:left w:val="nil"/>
                    <w:bottom w:val="single" w:sz="4" w:space="0" w:color="auto"/>
                    <w:right w:val="single" w:sz="4" w:space="0" w:color="auto"/>
                  </w:tcBorders>
                  <w:vAlign w:val="center"/>
                </w:tcPr>
                <w:p w:rsidR="00D56FF3" w:rsidRPr="00964E21" w:rsidRDefault="00AE5A3D" w:rsidP="00890739">
                  <w:pPr>
                    <w:rPr>
                      <w:rFonts w:ascii="黑体" w:eastAsia="黑体" w:hAnsi="黑体"/>
                      <w:b/>
                      <w:bCs/>
                    </w:rPr>
                  </w:pPr>
                  <w:r>
                    <w:rPr>
                      <w:rFonts w:ascii="黑体" w:eastAsia="黑体" w:hAnsi="黑体" w:hint="eastAsia"/>
                      <w:b/>
                      <w:bCs/>
                    </w:rPr>
                    <w:t>竞投人</w:t>
                  </w:r>
                  <w:r w:rsidR="00890739">
                    <w:rPr>
                      <w:rFonts w:ascii="黑体" w:eastAsia="黑体" w:hAnsi="黑体" w:hint="eastAsia"/>
                      <w:b/>
                      <w:bCs/>
                    </w:rPr>
                    <w:t>综合</w:t>
                  </w:r>
                  <w:r w:rsidR="00D56FF3">
                    <w:rPr>
                      <w:rFonts w:ascii="黑体" w:eastAsia="黑体" w:hAnsi="黑体" w:hint="eastAsia"/>
                      <w:b/>
                      <w:bCs/>
                    </w:rPr>
                    <w:t>实力</w:t>
                  </w:r>
                  <w:r w:rsidR="00D56FF3" w:rsidRPr="009B4B01">
                    <w:rPr>
                      <w:rFonts w:ascii="黑体" w:eastAsia="黑体" w:hAnsi="黑体" w:hint="eastAsia"/>
                      <w:b/>
                      <w:bCs/>
                    </w:rPr>
                    <w:t>（20分）</w:t>
                  </w:r>
                </w:p>
              </w:tc>
              <w:tc>
                <w:tcPr>
                  <w:tcW w:w="6237" w:type="dxa"/>
                  <w:tcBorders>
                    <w:top w:val="nil"/>
                    <w:left w:val="nil"/>
                    <w:bottom w:val="single" w:sz="4" w:space="0" w:color="auto"/>
                    <w:right w:val="single" w:sz="4" w:space="0" w:color="auto"/>
                  </w:tcBorders>
                  <w:vAlign w:val="center"/>
                </w:tcPr>
                <w:p w:rsidR="00D56FF3" w:rsidRPr="009B4B01" w:rsidRDefault="00D56FF3" w:rsidP="00890739">
                  <w:pPr>
                    <w:rPr>
                      <w:rFonts w:ascii="黑体" w:eastAsia="黑体" w:hAnsi="黑体"/>
                    </w:rPr>
                  </w:pPr>
                  <w:r w:rsidRPr="009B4B01">
                    <w:rPr>
                      <w:rFonts w:ascii="黑体" w:eastAsia="黑体" w:hAnsi="黑体" w:hint="eastAsia"/>
                    </w:rPr>
                    <w:t>1.承租人符合本须知规定的资质条件，不符合资质条件的不得参与竞投；</w:t>
                  </w:r>
                </w:p>
                <w:p w:rsidR="00890739" w:rsidRDefault="00D56FF3" w:rsidP="00890739">
                  <w:pPr>
                    <w:rPr>
                      <w:rFonts w:ascii="黑体" w:eastAsia="黑体" w:hAnsi="黑体"/>
                    </w:rPr>
                  </w:pPr>
                  <w:r>
                    <w:rPr>
                      <w:rFonts w:ascii="黑体" w:eastAsia="黑体" w:hAnsi="黑体" w:hint="eastAsia"/>
                    </w:rPr>
                    <w:t>2.</w:t>
                  </w:r>
                  <w:r w:rsidR="00890739">
                    <w:rPr>
                      <w:rFonts w:ascii="黑体" w:eastAsia="黑体" w:hAnsi="黑体" w:hint="eastAsia"/>
                    </w:rPr>
                    <w:t>承租人注册资本</w:t>
                  </w:r>
                  <w:r w:rsidR="00890739" w:rsidRPr="00890739">
                    <w:rPr>
                      <w:rFonts w:ascii="黑体" w:eastAsia="黑体" w:hAnsi="黑体" w:hint="eastAsia"/>
                    </w:rPr>
                    <w:t>1000</w:t>
                  </w:r>
                  <w:r w:rsidR="00890739">
                    <w:rPr>
                      <w:rFonts w:ascii="黑体" w:eastAsia="黑体" w:hAnsi="黑体" w:hint="eastAsia"/>
                    </w:rPr>
                    <w:t>万元</w:t>
                  </w:r>
                  <w:r w:rsidR="00890739" w:rsidRPr="00890739">
                    <w:rPr>
                      <w:rFonts w:ascii="黑体" w:eastAsia="黑体" w:hAnsi="黑体" w:hint="eastAsia"/>
                    </w:rPr>
                    <w:t>以上</w:t>
                  </w:r>
                  <w:r w:rsidR="00890739">
                    <w:rPr>
                      <w:rFonts w:ascii="黑体" w:eastAsia="黑体" w:hAnsi="黑体" w:hint="eastAsia"/>
                    </w:rPr>
                    <w:t>得</w:t>
                  </w:r>
                  <w:r w:rsidR="00890739" w:rsidRPr="00890739">
                    <w:rPr>
                      <w:rFonts w:ascii="黑体" w:eastAsia="黑体" w:hAnsi="黑体" w:hint="eastAsia"/>
                    </w:rPr>
                    <w:t>20</w:t>
                  </w:r>
                  <w:r w:rsidR="00890739">
                    <w:rPr>
                      <w:rFonts w:ascii="黑体" w:eastAsia="黑体" w:hAnsi="黑体" w:hint="eastAsia"/>
                    </w:rPr>
                    <w:t>分</w:t>
                  </w:r>
                  <w:r w:rsidR="00890739" w:rsidRPr="00890739">
                    <w:rPr>
                      <w:rFonts w:ascii="黑体" w:eastAsia="黑体" w:hAnsi="黑体" w:hint="eastAsia"/>
                    </w:rPr>
                    <w:t>；</w:t>
                  </w:r>
                </w:p>
                <w:p w:rsidR="00890739" w:rsidRDefault="00890739" w:rsidP="00890739">
                  <w:pPr>
                    <w:rPr>
                      <w:rFonts w:ascii="黑体" w:eastAsia="黑体" w:hAnsi="黑体"/>
                    </w:rPr>
                  </w:pPr>
                  <w:r>
                    <w:rPr>
                      <w:rFonts w:ascii="黑体" w:eastAsia="黑体" w:hAnsi="黑体" w:hint="eastAsia"/>
                    </w:rPr>
                    <w:t>3.承租人注册资本</w:t>
                  </w:r>
                  <w:r w:rsidR="00AE5A3D">
                    <w:rPr>
                      <w:rFonts w:ascii="黑体" w:eastAsia="黑体" w:hAnsi="黑体" w:hint="eastAsia"/>
                    </w:rPr>
                    <w:t>大于</w:t>
                  </w:r>
                  <w:r>
                    <w:rPr>
                      <w:rFonts w:ascii="黑体" w:eastAsia="黑体" w:hAnsi="黑体" w:hint="eastAsia"/>
                    </w:rPr>
                    <w:t>50</w:t>
                  </w:r>
                  <w:r w:rsidR="00AE5A3D">
                    <w:rPr>
                      <w:rFonts w:ascii="黑体" w:eastAsia="黑体" w:hAnsi="黑体" w:hint="eastAsia"/>
                    </w:rPr>
                    <w:t>0万元小于</w:t>
                  </w:r>
                  <w:r w:rsidRPr="00890739">
                    <w:rPr>
                      <w:rFonts w:ascii="黑体" w:eastAsia="黑体" w:hAnsi="黑体" w:hint="eastAsia"/>
                    </w:rPr>
                    <w:t>1000万</w:t>
                  </w:r>
                  <w:r>
                    <w:rPr>
                      <w:rFonts w:ascii="黑体" w:eastAsia="黑体" w:hAnsi="黑体" w:hint="eastAsia"/>
                    </w:rPr>
                    <w:t>元</w:t>
                  </w:r>
                  <w:r w:rsidR="00E1600A">
                    <w:rPr>
                      <w:rFonts w:ascii="黑体" w:eastAsia="黑体" w:hAnsi="黑体" w:hint="eastAsia"/>
                    </w:rPr>
                    <w:t>（含）</w:t>
                  </w:r>
                  <w:r>
                    <w:rPr>
                      <w:rFonts w:ascii="黑体" w:eastAsia="黑体" w:hAnsi="黑体" w:hint="eastAsia"/>
                    </w:rPr>
                    <w:t>得</w:t>
                  </w:r>
                  <w:r w:rsidRPr="00890739">
                    <w:rPr>
                      <w:rFonts w:ascii="黑体" w:eastAsia="黑体" w:hAnsi="黑体" w:hint="eastAsia"/>
                    </w:rPr>
                    <w:t>15</w:t>
                  </w:r>
                  <w:r>
                    <w:rPr>
                      <w:rFonts w:ascii="黑体" w:eastAsia="黑体" w:hAnsi="黑体" w:hint="eastAsia"/>
                    </w:rPr>
                    <w:t>分；</w:t>
                  </w:r>
                </w:p>
                <w:p w:rsidR="00890739" w:rsidRPr="00890739" w:rsidRDefault="00890739" w:rsidP="00890739">
                  <w:pPr>
                    <w:rPr>
                      <w:rFonts w:ascii="黑体" w:eastAsia="黑体" w:hAnsi="黑体"/>
                    </w:rPr>
                  </w:pPr>
                  <w:r>
                    <w:rPr>
                      <w:rFonts w:ascii="黑体" w:eastAsia="黑体" w:hAnsi="黑体" w:hint="eastAsia"/>
                    </w:rPr>
                    <w:t>4.</w:t>
                  </w:r>
                  <w:r w:rsidR="00AE5A3D">
                    <w:rPr>
                      <w:rFonts w:ascii="黑体" w:eastAsia="黑体" w:hAnsi="黑体" w:hint="eastAsia"/>
                    </w:rPr>
                    <w:t>承租人注册资本小于</w:t>
                  </w:r>
                  <w:r w:rsidRPr="00890739">
                    <w:rPr>
                      <w:rFonts w:ascii="黑体" w:eastAsia="黑体" w:hAnsi="黑体" w:hint="eastAsia"/>
                    </w:rPr>
                    <w:t>500万</w:t>
                  </w:r>
                  <w:r>
                    <w:rPr>
                      <w:rFonts w:ascii="黑体" w:eastAsia="黑体" w:hAnsi="黑体" w:hint="eastAsia"/>
                    </w:rPr>
                    <w:t>元</w:t>
                  </w:r>
                  <w:r w:rsidR="00AE5A3D">
                    <w:rPr>
                      <w:rFonts w:ascii="黑体" w:eastAsia="黑体" w:hAnsi="黑体" w:hint="eastAsia"/>
                    </w:rPr>
                    <w:t>（含）</w:t>
                  </w:r>
                  <w:r>
                    <w:rPr>
                      <w:rFonts w:ascii="黑体" w:eastAsia="黑体" w:hAnsi="黑体" w:hint="eastAsia"/>
                    </w:rPr>
                    <w:t>得</w:t>
                  </w:r>
                  <w:r w:rsidRPr="00890739">
                    <w:rPr>
                      <w:rFonts w:ascii="黑体" w:eastAsia="黑体" w:hAnsi="黑体" w:hint="eastAsia"/>
                    </w:rPr>
                    <w:t>10</w:t>
                  </w:r>
                  <w:r>
                    <w:rPr>
                      <w:rFonts w:ascii="黑体" w:eastAsia="黑体" w:hAnsi="黑体" w:hint="eastAsia"/>
                    </w:rPr>
                    <w:t>分；</w:t>
                  </w:r>
                </w:p>
                <w:p w:rsidR="00D56FF3" w:rsidRPr="00964E21" w:rsidRDefault="00890739" w:rsidP="00890739">
                  <w:pPr>
                    <w:rPr>
                      <w:rFonts w:ascii="黑体" w:eastAsia="黑体" w:hAnsi="黑体"/>
                    </w:rPr>
                  </w:pPr>
                  <w:r>
                    <w:rPr>
                      <w:rFonts w:ascii="黑体" w:eastAsia="黑体" w:hAnsi="黑体" w:hint="eastAsia"/>
                    </w:rPr>
                    <w:t>5.承租人为自然人得5分。</w:t>
                  </w:r>
                </w:p>
              </w:tc>
            </w:tr>
            <w:tr w:rsidR="00D56FF3" w:rsidRPr="00964E21" w:rsidTr="00890739">
              <w:trPr>
                <w:trHeight w:val="2218"/>
              </w:trPr>
              <w:tc>
                <w:tcPr>
                  <w:tcW w:w="935" w:type="dxa"/>
                  <w:tcBorders>
                    <w:top w:val="nil"/>
                    <w:left w:val="single" w:sz="4" w:space="0" w:color="auto"/>
                    <w:bottom w:val="single" w:sz="4" w:space="0" w:color="auto"/>
                    <w:right w:val="single" w:sz="4" w:space="0" w:color="auto"/>
                  </w:tcBorders>
                  <w:vAlign w:val="center"/>
                </w:tcPr>
                <w:p w:rsidR="00D56FF3" w:rsidRPr="00964E21" w:rsidRDefault="00D56FF3" w:rsidP="00890739">
                  <w:pPr>
                    <w:jc w:val="center"/>
                    <w:rPr>
                      <w:rFonts w:ascii="黑体" w:eastAsia="黑体" w:hAnsi="黑体" w:cs="宋体"/>
                      <w:b/>
                      <w:bCs/>
                    </w:rPr>
                  </w:pPr>
                  <w:r>
                    <w:rPr>
                      <w:rFonts w:ascii="黑体" w:eastAsia="黑体" w:hAnsi="黑体"/>
                      <w:b/>
                      <w:bCs/>
                    </w:rPr>
                    <w:t>2</w:t>
                  </w:r>
                </w:p>
              </w:tc>
              <w:tc>
                <w:tcPr>
                  <w:tcW w:w="1585" w:type="dxa"/>
                  <w:tcBorders>
                    <w:top w:val="nil"/>
                    <w:left w:val="nil"/>
                    <w:bottom w:val="single" w:sz="4" w:space="0" w:color="auto"/>
                    <w:right w:val="single" w:sz="4" w:space="0" w:color="auto"/>
                  </w:tcBorders>
                  <w:vAlign w:val="center"/>
                </w:tcPr>
                <w:p w:rsidR="00D56FF3" w:rsidRPr="00964E21" w:rsidRDefault="00D56FF3" w:rsidP="00890739">
                  <w:pPr>
                    <w:rPr>
                      <w:rFonts w:ascii="黑体" w:eastAsia="黑体" w:hAnsi="黑体"/>
                      <w:b/>
                      <w:bCs/>
                    </w:rPr>
                  </w:pPr>
                  <w:r w:rsidRPr="00964E21">
                    <w:rPr>
                      <w:rFonts w:ascii="黑体" w:eastAsia="黑体" w:hAnsi="黑体" w:hint="eastAsia"/>
                      <w:b/>
                      <w:bCs/>
                    </w:rPr>
                    <w:t>品牌定位</w:t>
                  </w:r>
                </w:p>
                <w:p w:rsidR="00D56FF3" w:rsidRPr="00964E21" w:rsidRDefault="00D56FF3" w:rsidP="00890739">
                  <w:pPr>
                    <w:rPr>
                      <w:rFonts w:ascii="黑体" w:eastAsia="黑体" w:hAnsi="黑体" w:cs="宋体"/>
                      <w:b/>
                      <w:bCs/>
                    </w:rPr>
                  </w:pPr>
                  <w:r w:rsidRPr="00964E21">
                    <w:rPr>
                      <w:rFonts w:ascii="黑体" w:eastAsia="黑体" w:hAnsi="黑体" w:hint="eastAsia"/>
                      <w:b/>
                      <w:bCs/>
                    </w:rPr>
                    <w:t>及经营方案</w:t>
                  </w:r>
                </w:p>
                <w:p w:rsidR="00D56FF3" w:rsidRPr="00964E21" w:rsidRDefault="00D56FF3" w:rsidP="00890739">
                  <w:pPr>
                    <w:rPr>
                      <w:rFonts w:ascii="黑体" w:eastAsia="黑体" w:hAnsi="黑体" w:cs="宋体"/>
                      <w:b/>
                      <w:bCs/>
                    </w:rPr>
                  </w:pPr>
                  <w:r w:rsidRPr="00964E21">
                    <w:rPr>
                      <w:rFonts w:ascii="黑体" w:eastAsia="黑体" w:hAnsi="黑体" w:hint="eastAsia"/>
                      <w:b/>
                      <w:bCs/>
                    </w:rPr>
                    <w:t>（</w:t>
                  </w:r>
                  <w:r>
                    <w:rPr>
                      <w:rFonts w:ascii="黑体" w:eastAsia="黑体" w:hAnsi="黑体"/>
                      <w:b/>
                      <w:bCs/>
                    </w:rPr>
                    <w:t>4</w:t>
                  </w:r>
                  <w:r w:rsidRPr="00964E21">
                    <w:rPr>
                      <w:rFonts w:ascii="黑体" w:eastAsia="黑体" w:hAnsi="黑体"/>
                      <w:b/>
                      <w:bCs/>
                    </w:rPr>
                    <w:t>0</w:t>
                  </w:r>
                  <w:r w:rsidRPr="00964E21">
                    <w:rPr>
                      <w:rFonts w:ascii="黑体" w:eastAsia="黑体" w:hAnsi="黑体" w:hint="eastAsia"/>
                      <w:b/>
                      <w:bCs/>
                    </w:rPr>
                    <w:t>分）</w:t>
                  </w:r>
                </w:p>
              </w:tc>
              <w:tc>
                <w:tcPr>
                  <w:tcW w:w="6237" w:type="dxa"/>
                  <w:tcBorders>
                    <w:top w:val="nil"/>
                    <w:left w:val="nil"/>
                    <w:bottom w:val="single" w:sz="4" w:space="0" w:color="auto"/>
                    <w:right w:val="single" w:sz="4" w:space="0" w:color="auto"/>
                  </w:tcBorders>
                  <w:vAlign w:val="center"/>
                </w:tcPr>
                <w:p w:rsidR="00D56FF3" w:rsidRPr="00964E21" w:rsidRDefault="00D56FF3" w:rsidP="00890739">
                  <w:pPr>
                    <w:rPr>
                      <w:rFonts w:ascii="黑体" w:eastAsia="黑体" w:hAnsi="黑体"/>
                    </w:rPr>
                  </w:pPr>
                  <w:r w:rsidRPr="00964E21">
                    <w:rPr>
                      <w:rFonts w:ascii="黑体" w:eastAsia="黑体" w:hAnsi="黑体" w:hint="eastAsia"/>
                    </w:rPr>
                    <w:t>经营方案（共</w:t>
                  </w:r>
                  <w:r>
                    <w:rPr>
                      <w:rFonts w:ascii="黑体" w:eastAsia="黑体" w:hAnsi="黑体"/>
                    </w:rPr>
                    <w:t>4</w:t>
                  </w:r>
                  <w:r w:rsidRPr="00964E21">
                    <w:rPr>
                      <w:rFonts w:ascii="黑体" w:eastAsia="黑体" w:hAnsi="黑体"/>
                    </w:rPr>
                    <w:t>0</w:t>
                  </w:r>
                  <w:r w:rsidRPr="00964E21">
                    <w:rPr>
                      <w:rFonts w:ascii="黑体" w:eastAsia="黑体" w:hAnsi="黑体" w:hint="eastAsia"/>
                    </w:rPr>
                    <w:t>分）：含品牌定位、产品体系、目标客群、消费水平等。</w:t>
                  </w:r>
                </w:p>
                <w:p w:rsidR="00D56FF3" w:rsidRPr="00964E21" w:rsidRDefault="00D56FF3" w:rsidP="00D56FF3">
                  <w:pPr>
                    <w:numPr>
                      <w:ilvl w:val="0"/>
                      <w:numId w:val="3"/>
                    </w:numPr>
                    <w:rPr>
                      <w:rFonts w:ascii="黑体" w:eastAsia="黑体" w:hAnsi="黑体"/>
                    </w:rPr>
                  </w:pPr>
                  <w:r w:rsidRPr="00964E21">
                    <w:rPr>
                      <w:rFonts w:ascii="黑体" w:eastAsia="黑体" w:hAnsi="黑体" w:hint="eastAsia"/>
                    </w:rPr>
                    <w:t>方案完整且</w:t>
                  </w:r>
                  <w:r w:rsidRPr="00964E21">
                    <w:rPr>
                      <w:rFonts w:ascii="黑体" w:eastAsia="黑体" w:hAnsi="黑体"/>
                    </w:rPr>
                    <w:t>与项目定位相符</w:t>
                  </w:r>
                  <w:r w:rsidRPr="00964E21">
                    <w:rPr>
                      <w:rFonts w:ascii="黑体" w:eastAsia="黑体" w:hAnsi="黑体" w:hint="eastAsia"/>
                    </w:rPr>
                    <w:t>，</w:t>
                  </w:r>
                  <w:r w:rsidR="00F70580">
                    <w:rPr>
                      <w:rFonts w:ascii="黑体" w:eastAsia="黑体" w:hAnsi="黑体" w:hint="eastAsia"/>
                    </w:rPr>
                    <w:t>内容丰富，呈现</w:t>
                  </w:r>
                  <w:r w:rsidR="00C0461E">
                    <w:rPr>
                      <w:rFonts w:ascii="黑体" w:eastAsia="黑体" w:hAnsi="黑体" w:hint="eastAsia"/>
                    </w:rPr>
                    <w:t>沉浸式观景、</w:t>
                  </w:r>
                  <w:r w:rsidR="00F70580">
                    <w:rPr>
                      <w:rFonts w:ascii="黑体" w:eastAsia="黑体" w:hAnsi="黑体" w:hint="eastAsia"/>
                    </w:rPr>
                    <w:t>虚实叠加、交互体验</w:t>
                  </w:r>
                  <w:r w:rsidR="00C0461E">
                    <w:rPr>
                      <w:rFonts w:ascii="黑体" w:eastAsia="黑体" w:hAnsi="黑体" w:hint="eastAsia"/>
                    </w:rPr>
                    <w:t>，</w:t>
                  </w:r>
                  <w:r w:rsidR="00F70580">
                    <w:rPr>
                      <w:rFonts w:ascii="黑体" w:eastAsia="黑体" w:hAnsi="黑体" w:hint="eastAsia"/>
                    </w:rPr>
                    <w:t>视为</w:t>
                  </w:r>
                  <w:r w:rsidRPr="00964E21">
                    <w:rPr>
                      <w:rFonts w:ascii="黑体" w:eastAsia="黑体" w:hAnsi="黑体"/>
                    </w:rPr>
                    <w:t>优秀</w:t>
                  </w:r>
                  <w:r w:rsidRPr="00964E21">
                    <w:rPr>
                      <w:rFonts w:ascii="黑体" w:eastAsia="黑体" w:hAnsi="黑体" w:hint="eastAsia"/>
                    </w:rPr>
                    <w:t>（</w:t>
                  </w:r>
                  <w:r>
                    <w:rPr>
                      <w:rFonts w:ascii="黑体" w:eastAsia="黑体" w:hAnsi="黑体"/>
                    </w:rPr>
                    <w:t>4</w:t>
                  </w:r>
                  <w:r w:rsidRPr="00964E21">
                    <w:rPr>
                      <w:rFonts w:ascii="黑体" w:eastAsia="黑体" w:hAnsi="黑体"/>
                    </w:rPr>
                    <w:t>0</w:t>
                  </w:r>
                  <w:r w:rsidRPr="00964E21">
                    <w:rPr>
                      <w:rFonts w:ascii="黑体" w:eastAsia="黑体" w:hAnsi="黑体" w:hint="eastAsia"/>
                    </w:rPr>
                    <w:t>分）；</w:t>
                  </w:r>
                </w:p>
                <w:p w:rsidR="00D56FF3" w:rsidRPr="00964E21" w:rsidRDefault="00D56FF3" w:rsidP="00D56FF3">
                  <w:pPr>
                    <w:numPr>
                      <w:ilvl w:val="0"/>
                      <w:numId w:val="3"/>
                    </w:numPr>
                    <w:rPr>
                      <w:rFonts w:ascii="黑体" w:eastAsia="黑体" w:hAnsi="黑体"/>
                    </w:rPr>
                  </w:pPr>
                  <w:r w:rsidRPr="00964E21">
                    <w:rPr>
                      <w:rFonts w:ascii="黑体" w:eastAsia="黑体" w:hAnsi="黑体" w:hint="eastAsia"/>
                    </w:rPr>
                    <w:t>方案</w:t>
                  </w:r>
                  <w:r w:rsidR="00C0461E">
                    <w:rPr>
                      <w:rFonts w:ascii="黑体" w:eastAsia="黑体" w:hAnsi="黑体" w:hint="eastAsia"/>
                    </w:rPr>
                    <w:t>较为</w:t>
                  </w:r>
                  <w:r w:rsidRPr="00964E21">
                    <w:rPr>
                      <w:rFonts w:ascii="黑体" w:eastAsia="黑体" w:hAnsi="黑体" w:hint="eastAsia"/>
                    </w:rPr>
                    <w:t>完整且</w:t>
                  </w:r>
                  <w:r w:rsidRPr="00964E21">
                    <w:rPr>
                      <w:rFonts w:ascii="黑体" w:eastAsia="黑体" w:hAnsi="黑体"/>
                    </w:rPr>
                    <w:t>与项目定位</w:t>
                  </w:r>
                  <w:r w:rsidR="00C0461E">
                    <w:rPr>
                      <w:rFonts w:ascii="黑体" w:eastAsia="黑体" w:hAnsi="黑体" w:hint="eastAsia"/>
                    </w:rPr>
                    <w:t>较为</w:t>
                  </w:r>
                  <w:r w:rsidRPr="00964E21">
                    <w:rPr>
                      <w:rFonts w:ascii="黑体" w:eastAsia="黑体" w:hAnsi="黑体"/>
                    </w:rPr>
                    <w:t>相符</w:t>
                  </w:r>
                  <w:r w:rsidRPr="00964E21">
                    <w:rPr>
                      <w:rFonts w:ascii="黑体" w:eastAsia="黑体" w:hAnsi="黑体" w:hint="eastAsia"/>
                    </w:rPr>
                    <w:t>，</w:t>
                  </w:r>
                  <w:r w:rsidR="00C0461E">
                    <w:rPr>
                      <w:rFonts w:ascii="黑体" w:eastAsia="黑体" w:hAnsi="黑体" w:hint="eastAsia"/>
                    </w:rPr>
                    <w:t>内容较丰富，</w:t>
                  </w:r>
                  <w:r w:rsidR="00E1600A" w:rsidRPr="00890739">
                    <w:rPr>
                      <w:rFonts w:ascii="黑体" w:eastAsia="黑体" w:hAnsi="黑体" w:hint="eastAsia"/>
                    </w:rPr>
                    <w:t>呈现</w:t>
                  </w:r>
                  <w:r w:rsidR="00C0461E">
                    <w:rPr>
                      <w:rFonts w:ascii="黑体" w:eastAsia="黑体" w:hAnsi="黑体" w:hint="eastAsia"/>
                    </w:rPr>
                    <w:t>良好视觉效果，外观形象较好，</w:t>
                  </w:r>
                  <w:r w:rsidR="00F70580">
                    <w:rPr>
                      <w:rFonts w:ascii="黑体" w:eastAsia="黑体" w:hAnsi="黑体" w:hint="eastAsia"/>
                    </w:rPr>
                    <w:t>视为</w:t>
                  </w:r>
                  <w:r w:rsidRPr="00964E21">
                    <w:rPr>
                      <w:rFonts w:ascii="黑体" w:eastAsia="黑体" w:hAnsi="黑体" w:hint="eastAsia"/>
                    </w:rPr>
                    <w:t>良好（</w:t>
                  </w:r>
                  <w:r>
                    <w:rPr>
                      <w:rFonts w:ascii="黑体" w:eastAsia="黑体" w:hAnsi="黑体"/>
                    </w:rPr>
                    <w:t>30</w:t>
                  </w:r>
                  <w:r w:rsidRPr="00964E21">
                    <w:rPr>
                      <w:rFonts w:ascii="黑体" w:eastAsia="黑体" w:hAnsi="黑体" w:hint="eastAsia"/>
                    </w:rPr>
                    <w:t>分）；</w:t>
                  </w:r>
                </w:p>
                <w:p w:rsidR="00E1600A" w:rsidRPr="00964E21" w:rsidRDefault="00D56FF3" w:rsidP="00D56FF3">
                  <w:pPr>
                    <w:numPr>
                      <w:ilvl w:val="0"/>
                      <w:numId w:val="3"/>
                    </w:numPr>
                    <w:rPr>
                      <w:rFonts w:ascii="黑体" w:eastAsia="黑体" w:hAnsi="黑体"/>
                    </w:rPr>
                  </w:pPr>
                  <w:r w:rsidRPr="00964E21">
                    <w:rPr>
                      <w:rFonts w:ascii="黑体" w:eastAsia="黑体" w:hAnsi="黑体" w:hint="eastAsia"/>
                    </w:rPr>
                    <w:t>方案</w:t>
                  </w:r>
                  <w:r w:rsidR="00C0461E">
                    <w:rPr>
                      <w:rFonts w:ascii="黑体" w:eastAsia="黑体" w:hAnsi="黑体" w:hint="eastAsia"/>
                    </w:rPr>
                    <w:t>基本完整且与项目定位基本相符，内容普通，</w:t>
                  </w:r>
                  <w:r w:rsidR="00C0461E" w:rsidRPr="00890739">
                    <w:rPr>
                      <w:rFonts w:ascii="黑体" w:eastAsia="黑体" w:hAnsi="黑体" w:hint="eastAsia"/>
                    </w:rPr>
                    <w:t>呈现</w:t>
                  </w:r>
                  <w:r w:rsidR="00C0461E">
                    <w:rPr>
                      <w:rFonts w:ascii="黑体" w:eastAsia="黑体" w:hAnsi="黑体" w:hint="eastAsia"/>
                    </w:rPr>
                    <w:t>一般视觉效果，外观形象一般，视为</w:t>
                  </w:r>
                  <w:r w:rsidRPr="00964E21">
                    <w:rPr>
                      <w:rFonts w:ascii="黑体" w:eastAsia="黑体" w:hAnsi="黑体" w:hint="eastAsia"/>
                    </w:rPr>
                    <w:t>一般（</w:t>
                  </w:r>
                  <w:r w:rsidRPr="00964E21">
                    <w:rPr>
                      <w:rFonts w:ascii="黑体" w:eastAsia="黑体" w:hAnsi="黑体"/>
                    </w:rPr>
                    <w:t>20</w:t>
                  </w:r>
                  <w:r w:rsidRPr="00964E21">
                    <w:rPr>
                      <w:rFonts w:ascii="黑体" w:eastAsia="黑体" w:hAnsi="黑体" w:hint="eastAsia"/>
                    </w:rPr>
                    <w:t>分）；</w:t>
                  </w:r>
                </w:p>
                <w:p w:rsidR="00D56FF3" w:rsidRPr="00E1600A" w:rsidRDefault="00D56FF3" w:rsidP="00E1600A">
                  <w:pPr>
                    <w:numPr>
                      <w:ilvl w:val="0"/>
                      <w:numId w:val="3"/>
                    </w:numPr>
                    <w:rPr>
                      <w:rFonts w:ascii="黑体" w:eastAsia="黑体" w:hAnsi="黑体"/>
                    </w:rPr>
                  </w:pPr>
                  <w:r w:rsidRPr="00E1600A">
                    <w:rPr>
                      <w:rFonts w:ascii="黑体" w:eastAsia="黑体" w:hAnsi="黑体" w:hint="eastAsia"/>
                    </w:rPr>
                    <w:t>方案差（</w:t>
                  </w:r>
                  <w:r w:rsidRPr="00E1600A">
                    <w:rPr>
                      <w:rFonts w:ascii="黑体" w:eastAsia="黑体" w:hAnsi="黑体"/>
                    </w:rPr>
                    <w:t>10</w:t>
                  </w:r>
                  <w:r w:rsidRPr="00E1600A">
                    <w:rPr>
                      <w:rFonts w:ascii="黑体" w:eastAsia="黑体" w:hAnsi="黑体" w:hint="eastAsia"/>
                    </w:rPr>
                    <w:t>分）。</w:t>
                  </w:r>
                </w:p>
              </w:tc>
            </w:tr>
            <w:tr w:rsidR="00D56FF3" w:rsidRPr="00964E21" w:rsidTr="00890739">
              <w:trPr>
                <w:trHeight w:val="1263"/>
              </w:trPr>
              <w:tc>
                <w:tcPr>
                  <w:tcW w:w="935" w:type="dxa"/>
                  <w:tcBorders>
                    <w:top w:val="single" w:sz="4" w:space="0" w:color="auto"/>
                    <w:left w:val="single" w:sz="4" w:space="0" w:color="auto"/>
                    <w:bottom w:val="single" w:sz="4" w:space="0" w:color="auto"/>
                    <w:right w:val="single" w:sz="4" w:space="0" w:color="auto"/>
                  </w:tcBorders>
                  <w:vAlign w:val="center"/>
                </w:tcPr>
                <w:p w:rsidR="00D56FF3" w:rsidRPr="00964E21" w:rsidRDefault="00D56FF3" w:rsidP="00890739">
                  <w:pPr>
                    <w:jc w:val="center"/>
                    <w:rPr>
                      <w:rFonts w:ascii="黑体" w:eastAsia="黑体" w:hAnsi="黑体" w:cs="宋体"/>
                      <w:b/>
                      <w:bCs/>
                    </w:rPr>
                  </w:pPr>
                  <w:r>
                    <w:rPr>
                      <w:rFonts w:ascii="黑体" w:eastAsia="黑体" w:hAnsi="黑体"/>
                      <w:b/>
                      <w:bCs/>
                    </w:rPr>
                    <w:t>3</w:t>
                  </w:r>
                </w:p>
              </w:tc>
              <w:tc>
                <w:tcPr>
                  <w:tcW w:w="1585" w:type="dxa"/>
                  <w:tcBorders>
                    <w:top w:val="single" w:sz="4" w:space="0" w:color="auto"/>
                    <w:left w:val="nil"/>
                    <w:bottom w:val="single" w:sz="4" w:space="0" w:color="auto"/>
                    <w:right w:val="single" w:sz="4" w:space="0" w:color="auto"/>
                  </w:tcBorders>
                  <w:vAlign w:val="center"/>
                </w:tcPr>
                <w:p w:rsidR="00D56FF3" w:rsidRPr="00964E21" w:rsidRDefault="00D56FF3" w:rsidP="00890739">
                  <w:pPr>
                    <w:rPr>
                      <w:rFonts w:ascii="黑体" w:eastAsia="黑体" w:hAnsi="黑体" w:cs="宋体"/>
                      <w:b/>
                      <w:bCs/>
                    </w:rPr>
                  </w:pPr>
                  <w:r w:rsidRPr="00964E21">
                    <w:rPr>
                      <w:rFonts w:ascii="黑体" w:eastAsia="黑体" w:hAnsi="黑体" w:cs="宋体" w:hint="eastAsia"/>
                      <w:b/>
                      <w:bCs/>
                    </w:rPr>
                    <w:t>商务条件</w:t>
                  </w:r>
                </w:p>
                <w:p w:rsidR="00D56FF3" w:rsidRPr="00964E21" w:rsidRDefault="00D56FF3" w:rsidP="00890739">
                  <w:pPr>
                    <w:rPr>
                      <w:rFonts w:ascii="黑体" w:eastAsia="黑体" w:hAnsi="黑体" w:cs="宋体"/>
                      <w:b/>
                      <w:bCs/>
                    </w:rPr>
                  </w:pPr>
                  <w:r w:rsidRPr="00964E21">
                    <w:rPr>
                      <w:rFonts w:ascii="黑体" w:eastAsia="黑体" w:hAnsi="黑体" w:hint="eastAsia"/>
                      <w:b/>
                      <w:bCs/>
                    </w:rPr>
                    <w:t>（</w:t>
                  </w:r>
                  <w:r>
                    <w:rPr>
                      <w:rFonts w:ascii="黑体" w:eastAsia="黑体" w:hAnsi="黑体"/>
                      <w:b/>
                      <w:bCs/>
                    </w:rPr>
                    <w:t>4</w:t>
                  </w:r>
                  <w:r w:rsidRPr="00964E21">
                    <w:rPr>
                      <w:rFonts w:ascii="黑体" w:eastAsia="黑体" w:hAnsi="黑体"/>
                      <w:b/>
                      <w:bCs/>
                    </w:rPr>
                    <w:t>0</w:t>
                  </w:r>
                  <w:r w:rsidRPr="00964E21">
                    <w:rPr>
                      <w:rFonts w:ascii="黑体" w:eastAsia="黑体" w:hAnsi="黑体" w:hint="eastAsia"/>
                      <w:b/>
                      <w:bCs/>
                    </w:rPr>
                    <w:t>分）</w:t>
                  </w:r>
                </w:p>
              </w:tc>
              <w:tc>
                <w:tcPr>
                  <w:tcW w:w="6237" w:type="dxa"/>
                  <w:tcBorders>
                    <w:top w:val="single" w:sz="4" w:space="0" w:color="auto"/>
                    <w:left w:val="nil"/>
                    <w:bottom w:val="single" w:sz="4" w:space="0" w:color="auto"/>
                    <w:right w:val="single" w:sz="4" w:space="0" w:color="auto"/>
                  </w:tcBorders>
                  <w:vAlign w:val="center"/>
                </w:tcPr>
                <w:p w:rsidR="00833C2E" w:rsidRPr="00833C2E" w:rsidRDefault="00833C2E" w:rsidP="00833C2E">
                  <w:pPr>
                    <w:rPr>
                      <w:rFonts w:ascii="黑体" w:eastAsia="黑体" w:hAnsi="黑体" w:cs="宋体"/>
                    </w:rPr>
                  </w:pPr>
                  <w:commentRangeStart w:id="0"/>
                  <w:r w:rsidRPr="00833C2E">
                    <w:rPr>
                      <w:rFonts w:ascii="黑体" w:eastAsia="黑体" w:hAnsi="黑体" w:cs="宋体" w:hint="eastAsia"/>
                    </w:rPr>
                    <w:t>租金得分：根据意向方报价最高报价得40分，横向对比意向方的报价，每低1%扣0.5分。</w:t>
                  </w:r>
                </w:p>
                <w:p w:rsidR="00D56FF3" w:rsidRPr="00964E21" w:rsidRDefault="00833C2E" w:rsidP="00890739">
                  <w:pPr>
                    <w:rPr>
                      <w:rFonts w:ascii="黑体" w:eastAsia="黑体" w:hAnsi="黑体" w:cs="宋体"/>
                    </w:rPr>
                  </w:pPr>
                  <w:r w:rsidRPr="00833C2E">
                    <w:rPr>
                      <w:rFonts w:ascii="黑体" w:eastAsia="黑体" w:hAnsi="黑体" w:cs="宋体" w:hint="eastAsia"/>
                    </w:rPr>
                    <w:t>租金得分=40-[(最高报价-各意向方报价）/最高报价×100×0.5]。（备注：以报价书为准，意向方月租金报价低于本须知规定的招租条件的月租金标准即第一年44,500元的，视为无效评审文件。得分保留小数后2位）</w:t>
                  </w:r>
                  <w:commentRangeEnd w:id="0"/>
                </w:p>
              </w:tc>
            </w:tr>
            <w:tr w:rsidR="00D56FF3" w:rsidRPr="00964E21" w:rsidTr="00890739">
              <w:trPr>
                <w:trHeight w:val="1263"/>
              </w:trPr>
              <w:tc>
                <w:tcPr>
                  <w:tcW w:w="8757" w:type="dxa"/>
                  <w:gridSpan w:val="3"/>
                  <w:tcBorders>
                    <w:top w:val="single" w:sz="4" w:space="0" w:color="auto"/>
                    <w:left w:val="single" w:sz="4" w:space="0" w:color="auto"/>
                    <w:bottom w:val="single" w:sz="4" w:space="0" w:color="auto"/>
                    <w:right w:val="single" w:sz="4" w:space="0" w:color="auto"/>
                  </w:tcBorders>
                  <w:vAlign w:val="center"/>
                </w:tcPr>
                <w:p w:rsidR="00D56FF3" w:rsidRPr="00964E21" w:rsidRDefault="00D56FF3" w:rsidP="00890739">
                  <w:pPr>
                    <w:rPr>
                      <w:rFonts w:ascii="黑体" w:eastAsia="黑体" w:hAnsi="黑体" w:cs="宋体"/>
                    </w:rPr>
                  </w:pPr>
                  <w:r w:rsidRPr="00964E21">
                    <w:rPr>
                      <w:rFonts w:ascii="黑体" w:eastAsia="黑体" w:hAnsi="黑体"/>
                    </w:rPr>
                    <w:t>备注：</w:t>
                  </w:r>
                  <w:r w:rsidRPr="00964E21">
                    <w:rPr>
                      <w:rFonts w:ascii="黑体" w:eastAsia="黑体" w:hAnsi="黑体" w:cs="宋体" w:hint="eastAsia"/>
                    </w:rPr>
                    <w:t>综合评分以综合得分由高到低顺序排列，综合得分最高者为第一候选人。综合得分次高者为第二候选人，如此类推。若出现两个或以上综合得分最高得分者，以商务条件得分高的优选；如商务条件得分也相等，以品牌定位及经营方案得分高的优先；如品牌定位及经营方案得分也相等的，由评审专家投票确定推选第一候选人。</w:t>
                  </w:r>
                </w:p>
              </w:tc>
            </w:tr>
          </w:tbl>
          <w:p w:rsidR="00D56FF3" w:rsidRPr="00964E21" w:rsidRDefault="00D56FF3" w:rsidP="00890739">
            <w:pPr>
              <w:widowControl/>
              <w:rPr>
                <w:rFonts w:ascii="黑体" w:eastAsia="黑体" w:hAnsi="黑体" w:cs="宋体"/>
                <w:b/>
                <w:bCs/>
                <w:kern w:val="0"/>
                <w:sz w:val="40"/>
                <w:szCs w:val="40"/>
              </w:rPr>
            </w:pPr>
          </w:p>
        </w:tc>
      </w:tr>
    </w:tbl>
    <w:p w:rsidR="00D56FF3" w:rsidRDefault="00D56FF3" w:rsidP="00D56FF3">
      <w:pPr>
        <w:spacing w:line="360" w:lineRule="auto"/>
        <w:rPr>
          <w:rFonts w:ascii="仿宋_GB2312" w:eastAsia="仿宋_GB2312"/>
          <w:b/>
          <w:bCs/>
          <w:sz w:val="28"/>
          <w:szCs w:val="28"/>
        </w:rPr>
      </w:pPr>
    </w:p>
    <w:p w:rsidR="00D56FF3" w:rsidRPr="00857CDB" w:rsidRDefault="00D56FF3" w:rsidP="00D56FF3">
      <w:pPr>
        <w:spacing w:line="360" w:lineRule="auto"/>
        <w:rPr>
          <w:rFonts w:ascii="仿宋_GB2312" w:eastAsia="仿宋_GB2312"/>
          <w:color w:val="000000"/>
          <w:sz w:val="30"/>
          <w:szCs w:val="30"/>
        </w:rPr>
      </w:pPr>
    </w:p>
    <w:p w:rsidR="002A1C91" w:rsidRPr="00D56FF3" w:rsidRDefault="002A1C91">
      <w:pPr>
        <w:rPr>
          <w:rFonts w:eastAsia="Times New Roman"/>
          <w:snapToGrid w:val="0"/>
          <w:color w:val="000000"/>
          <w:w w:val="0"/>
          <w:kern w:val="0"/>
          <w:sz w:val="0"/>
          <w:szCs w:val="0"/>
          <w:u w:color="000000"/>
          <w:shd w:val="clear" w:color="000000" w:fill="000000"/>
        </w:rPr>
      </w:pPr>
    </w:p>
    <w:sectPr w:rsidR="002A1C91" w:rsidRPr="00D56FF3" w:rsidSect="002A1C9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99D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99D23" w16cid:durableId="2C3C9F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9F4" w:rsidRDefault="007669F4" w:rsidP="009E7DBC">
      <w:r>
        <w:separator/>
      </w:r>
    </w:p>
  </w:endnote>
  <w:endnote w:type="continuationSeparator" w:id="1">
    <w:p w:rsidR="007669F4" w:rsidRDefault="007669F4" w:rsidP="009E7D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9F4" w:rsidRDefault="007669F4" w:rsidP="009E7DBC">
      <w:r>
        <w:separator/>
      </w:r>
    </w:p>
  </w:footnote>
  <w:footnote w:type="continuationSeparator" w:id="1">
    <w:p w:rsidR="007669F4" w:rsidRDefault="007669F4" w:rsidP="009E7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6E5"/>
    <w:multiLevelType w:val="multilevel"/>
    <w:tmpl w:val="0F8216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C16211D"/>
    <w:multiLevelType w:val="multilevel"/>
    <w:tmpl w:val="1C1621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71F66C8"/>
    <w:multiLevelType w:val="hybridMultilevel"/>
    <w:tmpl w:val="BFD622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绮婷">
    <w15:presenceInfo w15:providerId="None" w15:userId="陈绮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FD7"/>
    <w:rsid w:val="00007C0C"/>
    <w:rsid w:val="00014077"/>
    <w:rsid w:val="00014803"/>
    <w:rsid w:val="00015070"/>
    <w:rsid w:val="0001628C"/>
    <w:rsid w:val="000274AD"/>
    <w:rsid w:val="00030CE5"/>
    <w:rsid w:val="00032EC0"/>
    <w:rsid w:val="0003479F"/>
    <w:rsid w:val="0005403F"/>
    <w:rsid w:val="00061519"/>
    <w:rsid w:val="00064584"/>
    <w:rsid w:val="0007180C"/>
    <w:rsid w:val="000729D0"/>
    <w:rsid w:val="000820AC"/>
    <w:rsid w:val="000824F3"/>
    <w:rsid w:val="00093248"/>
    <w:rsid w:val="000B74D9"/>
    <w:rsid w:val="000C16DE"/>
    <w:rsid w:val="000D1CC7"/>
    <w:rsid w:val="000D30BD"/>
    <w:rsid w:val="000F3CA3"/>
    <w:rsid w:val="00107EEC"/>
    <w:rsid w:val="00115BB6"/>
    <w:rsid w:val="001165B2"/>
    <w:rsid w:val="00116FFE"/>
    <w:rsid w:val="00152E1A"/>
    <w:rsid w:val="00162A29"/>
    <w:rsid w:val="00167886"/>
    <w:rsid w:val="00167F91"/>
    <w:rsid w:val="00187D68"/>
    <w:rsid w:val="001A176D"/>
    <w:rsid w:val="001A1D3F"/>
    <w:rsid w:val="001B2564"/>
    <w:rsid w:val="001B7620"/>
    <w:rsid w:val="001C3EE0"/>
    <w:rsid w:val="001C72B9"/>
    <w:rsid w:val="001E1BE6"/>
    <w:rsid w:val="001E4126"/>
    <w:rsid w:val="001F207A"/>
    <w:rsid w:val="00213150"/>
    <w:rsid w:val="00221006"/>
    <w:rsid w:val="00222878"/>
    <w:rsid w:val="00222E8E"/>
    <w:rsid w:val="00230740"/>
    <w:rsid w:val="00245889"/>
    <w:rsid w:val="002464C7"/>
    <w:rsid w:val="00251CE1"/>
    <w:rsid w:val="00254D89"/>
    <w:rsid w:val="00257C77"/>
    <w:rsid w:val="002612D2"/>
    <w:rsid w:val="00261519"/>
    <w:rsid w:val="00276380"/>
    <w:rsid w:val="0029049E"/>
    <w:rsid w:val="002A1C91"/>
    <w:rsid w:val="002A3AF4"/>
    <w:rsid w:val="002D35E3"/>
    <w:rsid w:val="002E631A"/>
    <w:rsid w:val="002F078A"/>
    <w:rsid w:val="002F5E61"/>
    <w:rsid w:val="002F6B8F"/>
    <w:rsid w:val="00302CDC"/>
    <w:rsid w:val="00304059"/>
    <w:rsid w:val="003102B8"/>
    <w:rsid w:val="003273D3"/>
    <w:rsid w:val="0033327F"/>
    <w:rsid w:val="0036377A"/>
    <w:rsid w:val="00370948"/>
    <w:rsid w:val="00372D00"/>
    <w:rsid w:val="00374379"/>
    <w:rsid w:val="003A0F07"/>
    <w:rsid w:val="003A2E6E"/>
    <w:rsid w:val="003A3392"/>
    <w:rsid w:val="003B67E4"/>
    <w:rsid w:val="003B7F80"/>
    <w:rsid w:val="003E6CF6"/>
    <w:rsid w:val="00404C6A"/>
    <w:rsid w:val="00407BE2"/>
    <w:rsid w:val="00427413"/>
    <w:rsid w:val="0044224E"/>
    <w:rsid w:val="00444495"/>
    <w:rsid w:val="00450E26"/>
    <w:rsid w:val="00460B1F"/>
    <w:rsid w:val="0046778D"/>
    <w:rsid w:val="004726C2"/>
    <w:rsid w:val="00476267"/>
    <w:rsid w:val="004827C0"/>
    <w:rsid w:val="00490880"/>
    <w:rsid w:val="0049778D"/>
    <w:rsid w:val="004A0F6A"/>
    <w:rsid w:val="004A2C37"/>
    <w:rsid w:val="004D5E2E"/>
    <w:rsid w:val="005017FA"/>
    <w:rsid w:val="00505872"/>
    <w:rsid w:val="00513D2B"/>
    <w:rsid w:val="0052021D"/>
    <w:rsid w:val="005332FF"/>
    <w:rsid w:val="005514C2"/>
    <w:rsid w:val="0055739F"/>
    <w:rsid w:val="005635E5"/>
    <w:rsid w:val="005638BF"/>
    <w:rsid w:val="00575AEF"/>
    <w:rsid w:val="00590491"/>
    <w:rsid w:val="00590B54"/>
    <w:rsid w:val="0059735D"/>
    <w:rsid w:val="005A1F38"/>
    <w:rsid w:val="005B2B8F"/>
    <w:rsid w:val="005D1C42"/>
    <w:rsid w:val="005D6391"/>
    <w:rsid w:val="005F41D4"/>
    <w:rsid w:val="00606BCA"/>
    <w:rsid w:val="00611645"/>
    <w:rsid w:val="00644C14"/>
    <w:rsid w:val="0065419A"/>
    <w:rsid w:val="0066710F"/>
    <w:rsid w:val="00680542"/>
    <w:rsid w:val="00687C17"/>
    <w:rsid w:val="00691F29"/>
    <w:rsid w:val="00692595"/>
    <w:rsid w:val="006A77F3"/>
    <w:rsid w:val="006B2623"/>
    <w:rsid w:val="006C0DF5"/>
    <w:rsid w:val="006D18BE"/>
    <w:rsid w:val="006E2F77"/>
    <w:rsid w:val="00713B7E"/>
    <w:rsid w:val="007161CF"/>
    <w:rsid w:val="00726CB6"/>
    <w:rsid w:val="00730A55"/>
    <w:rsid w:val="007414C4"/>
    <w:rsid w:val="00757032"/>
    <w:rsid w:val="00757843"/>
    <w:rsid w:val="00761E01"/>
    <w:rsid w:val="00764D5E"/>
    <w:rsid w:val="007669F4"/>
    <w:rsid w:val="00772B1B"/>
    <w:rsid w:val="007B2173"/>
    <w:rsid w:val="007C1CE7"/>
    <w:rsid w:val="007C358D"/>
    <w:rsid w:val="007C4944"/>
    <w:rsid w:val="007F0B6A"/>
    <w:rsid w:val="007F7D67"/>
    <w:rsid w:val="008005F5"/>
    <w:rsid w:val="00803738"/>
    <w:rsid w:val="0081057B"/>
    <w:rsid w:val="00826800"/>
    <w:rsid w:val="00833C2E"/>
    <w:rsid w:val="00835EC4"/>
    <w:rsid w:val="0083617C"/>
    <w:rsid w:val="00840BFD"/>
    <w:rsid w:val="00841BFF"/>
    <w:rsid w:val="00852D3B"/>
    <w:rsid w:val="00853956"/>
    <w:rsid w:val="008571D3"/>
    <w:rsid w:val="00861BFE"/>
    <w:rsid w:val="00862C95"/>
    <w:rsid w:val="00866207"/>
    <w:rsid w:val="00884A8E"/>
    <w:rsid w:val="0088541E"/>
    <w:rsid w:val="00885469"/>
    <w:rsid w:val="00890739"/>
    <w:rsid w:val="00895D0D"/>
    <w:rsid w:val="00896E2C"/>
    <w:rsid w:val="008B2A2B"/>
    <w:rsid w:val="008D117B"/>
    <w:rsid w:val="008D1378"/>
    <w:rsid w:val="008E2147"/>
    <w:rsid w:val="008E5366"/>
    <w:rsid w:val="008E5EE1"/>
    <w:rsid w:val="008E68D3"/>
    <w:rsid w:val="00910994"/>
    <w:rsid w:val="00923D64"/>
    <w:rsid w:val="00926B4A"/>
    <w:rsid w:val="00931665"/>
    <w:rsid w:val="009437E7"/>
    <w:rsid w:val="0094661A"/>
    <w:rsid w:val="009476B7"/>
    <w:rsid w:val="0094775B"/>
    <w:rsid w:val="00956057"/>
    <w:rsid w:val="009667CD"/>
    <w:rsid w:val="00966B79"/>
    <w:rsid w:val="00991468"/>
    <w:rsid w:val="00992365"/>
    <w:rsid w:val="0099626C"/>
    <w:rsid w:val="009A433F"/>
    <w:rsid w:val="009B1104"/>
    <w:rsid w:val="009D0659"/>
    <w:rsid w:val="009D324A"/>
    <w:rsid w:val="009D61DB"/>
    <w:rsid w:val="009D7982"/>
    <w:rsid w:val="009E458E"/>
    <w:rsid w:val="009E70C3"/>
    <w:rsid w:val="009E7DBC"/>
    <w:rsid w:val="00A2559C"/>
    <w:rsid w:val="00A31844"/>
    <w:rsid w:val="00A56B62"/>
    <w:rsid w:val="00A57E5A"/>
    <w:rsid w:val="00A615EB"/>
    <w:rsid w:val="00A65DBB"/>
    <w:rsid w:val="00A66574"/>
    <w:rsid w:val="00A67AED"/>
    <w:rsid w:val="00A86317"/>
    <w:rsid w:val="00A913E3"/>
    <w:rsid w:val="00A93B13"/>
    <w:rsid w:val="00AB54F0"/>
    <w:rsid w:val="00AB707D"/>
    <w:rsid w:val="00AC6046"/>
    <w:rsid w:val="00AD2BBE"/>
    <w:rsid w:val="00AE5A3D"/>
    <w:rsid w:val="00AE6135"/>
    <w:rsid w:val="00AF0157"/>
    <w:rsid w:val="00AF1C35"/>
    <w:rsid w:val="00B21A32"/>
    <w:rsid w:val="00B34379"/>
    <w:rsid w:val="00B50218"/>
    <w:rsid w:val="00B62CB7"/>
    <w:rsid w:val="00B7133D"/>
    <w:rsid w:val="00B864B9"/>
    <w:rsid w:val="00B97701"/>
    <w:rsid w:val="00B97CC5"/>
    <w:rsid w:val="00BA5CBD"/>
    <w:rsid w:val="00BA7B86"/>
    <w:rsid w:val="00BB7270"/>
    <w:rsid w:val="00BC5F89"/>
    <w:rsid w:val="00BD024B"/>
    <w:rsid w:val="00BD2A9E"/>
    <w:rsid w:val="00BD4D35"/>
    <w:rsid w:val="00C03C48"/>
    <w:rsid w:val="00C0461E"/>
    <w:rsid w:val="00C13923"/>
    <w:rsid w:val="00C15D41"/>
    <w:rsid w:val="00C24CB5"/>
    <w:rsid w:val="00C47A4E"/>
    <w:rsid w:val="00C50399"/>
    <w:rsid w:val="00C528E8"/>
    <w:rsid w:val="00C76C22"/>
    <w:rsid w:val="00C9112C"/>
    <w:rsid w:val="00CA2A28"/>
    <w:rsid w:val="00CA66B4"/>
    <w:rsid w:val="00CC0BBA"/>
    <w:rsid w:val="00CC36F7"/>
    <w:rsid w:val="00CD22AF"/>
    <w:rsid w:val="00CD22F6"/>
    <w:rsid w:val="00CD24A4"/>
    <w:rsid w:val="00CE059A"/>
    <w:rsid w:val="00CE3969"/>
    <w:rsid w:val="00CF7C02"/>
    <w:rsid w:val="00D11C63"/>
    <w:rsid w:val="00D23568"/>
    <w:rsid w:val="00D464B1"/>
    <w:rsid w:val="00D47022"/>
    <w:rsid w:val="00D472F6"/>
    <w:rsid w:val="00D56FF3"/>
    <w:rsid w:val="00D617B2"/>
    <w:rsid w:val="00D83C50"/>
    <w:rsid w:val="00D86A03"/>
    <w:rsid w:val="00DA4821"/>
    <w:rsid w:val="00DC0E9F"/>
    <w:rsid w:val="00DC66BB"/>
    <w:rsid w:val="00DD2BA6"/>
    <w:rsid w:val="00DD5912"/>
    <w:rsid w:val="00DD6852"/>
    <w:rsid w:val="00DE4450"/>
    <w:rsid w:val="00DF7728"/>
    <w:rsid w:val="00E10B30"/>
    <w:rsid w:val="00E1600A"/>
    <w:rsid w:val="00E21655"/>
    <w:rsid w:val="00E313BA"/>
    <w:rsid w:val="00E46028"/>
    <w:rsid w:val="00E70018"/>
    <w:rsid w:val="00E70C6A"/>
    <w:rsid w:val="00E71391"/>
    <w:rsid w:val="00E721D5"/>
    <w:rsid w:val="00E73925"/>
    <w:rsid w:val="00E75BDB"/>
    <w:rsid w:val="00E85FAC"/>
    <w:rsid w:val="00E948C2"/>
    <w:rsid w:val="00EB2FE0"/>
    <w:rsid w:val="00ED25F1"/>
    <w:rsid w:val="00ED3BAD"/>
    <w:rsid w:val="00EE0866"/>
    <w:rsid w:val="00EE3AC2"/>
    <w:rsid w:val="00EE5CB5"/>
    <w:rsid w:val="00F212F6"/>
    <w:rsid w:val="00F2150C"/>
    <w:rsid w:val="00F3019F"/>
    <w:rsid w:val="00F32CB1"/>
    <w:rsid w:val="00F32E23"/>
    <w:rsid w:val="00F35434"/>
    <w:rsid w:val="00F372BB"/>
    <w:rsid w:val="00F419A1"/>
    <w:rsid w:val="00F4656F"/>
    <w:rsid w:val="00F54E11"/>
    <w:rsid w:val="00F60B0F"/>
    <w:rsid w:val="00F67A69"/>
    <w:rsid w:val="00F70580"/>
    <w:rsid w:val="00F8184F"/>
    <w:rsid w:val="00F9705B"/>
    <w:rsid w:val="00FD18A1"/>
    <w:rsid w:val="00FE357C"/>
    <w:rsid w:val="00FE7FD7"/>
    <w:rsid w:val="00FF544C"/>
    <w:rsid w:val="2C0366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F3"/>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2A1C91"/>
    <w:pPr>
      <w:jc w:val="left"/>
    </w:pPr>
  </w:style>
  <w:style w:type="paragraph" w:styleId="a4">
    <w:name w:val="Balloon Text"/>
    <w:basedOn w:val="a"/>
    <w:link w:val="Char0"/>
    <w:uiPriority w:val="99"/>
    <w:semiHidden/>
    <w:unhideWhenUsed/>
    <w:qFormat/>
    <w:rsid w:val="002A1C91"/>
    <w:rPr>
      <w:sz w:val="18"/>
      <w:szCs w:val="18"/>
    </w:rPr>
  </w:style>
  <w:style w:type="paragraph" w:styleId="a5">
    <w:name w:val="footer"/>
    <w:basedOn w:val="a"/>
    <w:link w:val="Char1"/>
    <w:uiPriority w:val="99"/>
    <w:unhideWhenUsed/>
    <w:rsid w:val="002A1C9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A1C9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A1C91"/>
    <w:rPr>
      <w:b/>
      <w:bCs/>
    </w:rPr>
  </w:style>
  <w:style w:type="table" w:styleId="a8">
    <w:name w:val="Table Grid"/>
    <w:basedOn w:val="a1"/>
    <w:uiPriority w:val="39"/>
    <w:qFormat/>
    <w:rsid w:val="002A1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A1C91"/>
    <w:rPr>
      <w:color w:val="0563C1" w:themeColor="hyperlink"/>
      <w:u w:val="single"/>
    </w:rPr>
  </w:style>
  <w:style w:type="character" w:styleId="aa">
    <w:name w:val="annotation reference"/>
    <w:basedOn w:val="a0"/>
    <w:semiHidden/>
    <w:unhideWhenUsed/>
    <w:qFormat/>
    <w:rsid w:val="002A1C91"/>
    <w:rPr>
      <w:sz w:val="21"/>
      <w:szCs w:val="21"/>
    </w:rPr>
  </w:style>
  <w:style w:type="paragraph" w:styleId="ab">
    <w:name w:val="List Paragraph"/>
    <w:basedOn w:val="a"/>
    <w:uiPriority w:val="34"/>
    <w:qFormat/>
    <w:rsid w:val="002A1C91"/>
    <w:pPr>
      <w:ind w:firstLineChars="200" w:firstLine="420"/>
    </w:pPr>
  </w:style>
  <w:style w:type="character" w:customStyle="1" w:styleId="1">
    <w:name w:val="未处理的提及1"/>
    <w:basedOn w:val="a0"/>
    <w:uiPriority w:val="99"/>
    <w:semiHidden/>
    <w:unhideWhenUsed/>
    <w:qFormat/>
    <w:rsid w:val="002A1C91"/>
    <w:rPr>
      <w:color w:val="605E5C"/>
      <w:shd w:val="clear" w:color="auto" w:fill="E1DFDD"/>
    </w:rPr>
  </w:style>
  <w:style w:type="character" w:customStyle="1" w:styleId="Char2">
    <w:name w:val="页眉 Char"/>
    <w:basedOn w:val="a0"/>
    <w:link w:val="a6"/>
    <w:uiPriority w:val="99"/>
    <w:rsid w:val="002A1C91"/>
    <w:rPr>
      <w:sz w:val="18"/>
      <w:szCs w:val="18"/>
    </w:rPr>
  </w:style>
  <w:style w:type="character" w:customStyle="1" w:styleId="Char1">
    <w:name w:val="页脚 Char"/>
    <w:basedOn w:val="a0"/>
    <w:link w:val="a5"/>
    <w:uiPriority w:val="99"/>
    <w:rsid w:val="002A1C91"/>
    <w:rPr>
      <w:sz w:val="18"/>
      <w:szCs w:val="18"/>
    </w:rPr>
  </w:style>
  <w:style w:type="character" w:customStyle="1" w:styleId="Char">
    <w:name w:val="批注文字 Char"/>
    <w:basedOn w:val="a0"/>
    <w:link w:val="a3"/>
    <w:semiHidden/>
    <w:rsid w:val="002A1C91"/>
  </w:style>
  <w:style w:type="character" w:customStyle="1" w:styleId="Char3">
    <w:name w:val="批注主题 Char"/>
    <w:basedOn w:val="Char"/>
    <w:link w:val="a7"/>
    <w:uiPriority w:val="99"/>
    <w:semiHidden/>
    <w:qFormat/>
    <w:rsid w:val="002A1C91"/>
    <w:rPr>
      <w:b/>
      <w:bCs/>
    </w:rPr>
  </w:style>
  <w:style w:type="character" w:customStyle="1" w:styleId="Char0">
    <w:name w:val="批注框文本 Char"/>
    <w:basedOn w:val="a0"/>
    <w:link w:val="a4"/>
    <w:uiPriority w:val="99"/>
    <w:semiHidden/>
    <w:qFormat/>
    <w:rsid w:val="002A1C9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gzt</dc:creator>
  <cp:lastModifiedBy>骆伟光</cp:lastModifiedBy>
  <cp:revision>19</cp:revision>
  <cp:lastPrinted>2024-05-29T10:33:00Z</cp:lastPrinted>
  <dcterms:created xsi:type="dcterms:W3CDTF">2025-02-25T12:16:00Z</dcterms:created>
  <dcterms:modified xsi:type="dcterms:W3CDTF">2025-08-17T07:52:00Z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eyJoZGlkIjoiNTM1ZWZhZWU3YTQxOGFiMDlkZWU4ZTIzYmM5NzI1NTkiLCJ1c2VySWQiOiI1OTc5ODMyNzcifQ==</vt:lpwstr>
  </property>
  <property fmtid="{D5CDD505-2E9C-101B-9397-08002B2CF9AE}" pid="3" name="KSOProductBuildVer">
    <vt:lpwstr>2052-12.1.0.20305</vt:lpwstr>
  </property>
  <property fmtid="{D5CDD505-2E9C-101B-9397-08002B2CF9AE}" pid="4" name="ICV">
    <vt:lpwstr>A8E27D7F64C144E3BAA70C91E9E4CBF1_13</vt:lpwstr>
  </property>
</Properties>
</file>